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proofErr w:type="spellStart"/>
      <w:r w:rsidR="00BC7C90">
        <w:rPr>
          <w:sz w:val="16"/>
          <w:szCs w:val="16"/>
        </w:rPr>
        <w:t>Waterbased</w:t>
      </w:r>
      <w:proofErr w:type="spellEnd"/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  <w:proofErr w:type="gramEnd"/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</w:t>
      </w:r>
      <w:proofErr w:type="gramStart"/>
      <w:r w:rsidR="008C3C12" w:rsidRPr="00185ECB">
        <w:rPr>
          <w:sz w:val="16"/>
          <w:szCs w:val="16"/>
        </w:rPr>
        <w:t>face</w:t>
      </w:r>
      <w:proofErr w:type="gramEnd"/>
      <w:r w:rsidR="008C3C12" w:rsidRPr="00185ECB">
        <w:rPr>
          <w:sz w:val="16"/>
          <w:szCs w:val="16"/>
        </w:rPr>
        <w:t xml:space="preserve">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D6601" w:rsidP="00B016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Coloured</w:t>
            </w:r>
            <w:proofErr w:type="spellEnd"/>
            <w:r>
              <w:rPr>
                <w:sz w:val="16"/>
                <w:szCs w:val="16"/>
              </w:rPr>
              <w:t xml:space="preserve"> Paste</w:t>
            </w:r>
          </w:p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D6601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2.43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6152A8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5D6601" w:rsidRPr="0059263D" w:rsidRDefault="005D6601" w:rsidP="005D6601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WOOD PUTTY</w:t>
          </w:r>
        </w:p>
        <w:p w:rsidR="000C7833" w:rsidRPr="0059263D" w:rsidRDefault="005D6601" w:rsidP="005D6601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1070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5D6601" w:rsidRPr="0059263D" w:rsidRDefault="005D6601" w:rsidP="005D6601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WOOD PUTTY</w:t>
          </w:r>
        </w:p>
        <w:p w:rsidR="000C7833" w:rsidRPr="0059263D" w:rsidRDefault="005D6601" w:rsidP="005D6601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1070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5D6601">
            <w:rPr>
              <w:rFonts w:ascii="Arial Narrow" w:hAnsi="Arial Narrow"/>
              <w:b/>
              <w:color w:val="000000" w:themeColor="text1"/>
            </w:rPr>
            <w:t>WOOD PUTTY</w:t>
          </w:r>
        </w:p>
        <w:p w:rsidR="008C3C12" w:rsidRPr="0059263D" w:rsidRDefault="008C3C12" w:rsidP="005D6601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B27BA3">
            <w:rPr>
              <w:rFonts w:ascii="Arial Narrow" w:hAnsi="Arial Narrow"/>
              <w:b/>
              <w:color w:val="000000" w:themeColor="text1"/>
            </w:rPr>
            <w:t xml:space="preserve">roduct code :  RES </w:t>
          </w:r>
          <w:r w:rsidR="005D6601">
            <w:rPr>
              <w:rFonts w:ascii="Arial Narrow" w:hAnsi="Arial Narrow"/>
              <w:b/>
              <w:color w:val="000000" w:themeColor="text1"/>
            </w:rPr>
            <w:t>1070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A4CB1"/>
    <w:rsid w:val="000B699B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154C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04867"/>
    <w:rsid w:val="00532134"/>
    <w:rsid w:val="00534D89"/>
    <w:rsid w:val="00572AF2"/>
    <w:rsid w:val="005915D1"/>
    <w:rsid w:val="0059263D"/>
    <w:rsid w:val="0059442E"/>
    <w:rsid w:val="005C71F4"/>
    <w:rsid w:val="005D6601"/>
    <w:rsid w:val="005E4D09"/>
    <w:rsid w:val="006152A8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8044E"/>
    <w:rsid w:val="007B5036"/>
    <w:rsid w:val="007B5DD9"/>
    <w:rsid w:val="007B6AEF"/>
    <w:rsid w:val="007C0AF2"/>
    <w:rsid w:val="007E36CE"/>
    <w:rsid w:val="00842D5A"/>
    <w:rsid w:val="008745FF"/>
    <w:rsid w:val="00880FE6"/>
    <w:rsid w:val="008B0297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27BA3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FD27-4198-4093-9A14-D15F17E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QC Labratorium1</cp:lastModifiedBy>
  <cp:revision>3</cp:revision>
  <cp:lastPrinted>2014-09-19T09:02:00Z</cp:lastPrinted>
  <dcterms:created xsi:type="dcterms:W3CDTF">2014-09-19T09:03:00Z</dcterms:created>
  <dcterms:modified xsi:type="dcterms:W3CDTF">2014-09-19T09:04:00Z</dcterms:modified>
</cp:coreProperties>
</file>